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3B4F41">
        <w:rPr>
          <w:sz w:val="28"/>
          <w:szCs w:val="28"/>
          <w:lang w:eastAsia="en-US"/>
        </w:rPr>
        <w:t xml:space="preserve"> </w:t>
      </w:r>
      <w:r w:rsidR="00CD75A6">
        <w:rPr>
          <w:sz w:val="28"/>
          <w:szCs w:val="28"/>
          <w:lang w:eastAsia="en-US"/>
        </w:rPr>
        <w:t xml:space="preserve">17.04.2018  </w:t>
      </w:r>
      <w:r w:rsidR="0083246A">
        <w:rPr>
          <w:sz w:val="28"/>
          <w:szCs w:val="28"/>
          <w:lang w:eastAsia="en-US"/>
        </w:rPr>
        <w:t>№</w:t>
      </w:r>
      <w:r w:rsidR="00B64569">
        <w:rPr>
          <w:sz w:val="28"/>
          <w:szCs w:val="28"/>
          <w:lang w:eastAsia="en-US"/>
        </w:rPr>
        <w:t xml:space="preserve"> </w:t>
      </w:r>
      <w:r w:rsidR="00CD75A6">
        <w:rPr>
          <w:sz w:val="28"/>
          <w:szCs w:val="28"/>
          <w:lang w:eastAsia="en-US"/>
        </w:rPr>
        <w:t>832</w:t>
      </w:r>
      <w:bookmarkStart w:id="0" w:name="_GoBack"/>
      <w:bookmarkEnd w:id="0"/>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D8" w:rsidRDefault="004021D8" w:rsidP="00E329BE">
      <w:r>
        <w:separator/>
      </w:r>
    </w:p>
  </w:endnote>
  <w:endnote w:type="continuationSeparator" w:id="0">
    <w:p w:rsidR="004021D8" w:rsidRDefault="004021D8"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D8" w:rsidRDefault="004021D8" w:rsidP="00E329BE">
      <w:r>
        <w:separator/>
      </w:r>
    </w:p>
  </w:footnote>
  <w:footnote w:type="continuationSeparator" w:id="0">
    <w:p w:rsidR="004021D8" w:rsidRDefault="004021D8"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978139"/>
      <w:docPartObj>
        <w:docPartGallery w:val="Page Numbers (Top of Page)"/>
        <w:docPartUnique/>
      </w:docPartObj>
    </w:sdtPr>
    <w:sdtEndPr/>
    <w:sdtContent>
      <w:p w:rsidR="00835460" w:rsidRDefault="00835460">
        <w:pPr>
          <w:pStyle w:val="af1"/>
          <w:jc w:val="center"/>
        </w:pPr>
        <w:r>
          <w:fldChar w:fldCharType="begin"/>
        </w:r>
        <w:r>
          <w:instrText>PAGE   \* MERGEFORMAT</w:instrText>
        </w:r>
        <w:r>
          <w:fldChar w:fldCharType="separate"/>
        </w:r>
        <w:r w:rsidR="00CD75A6">
          <w:rPr>
            <w:noProof/>
          </w:rPr>
          <w:t>1</w:t>
        </w:r>
        <w:r>
          <w:fldChar w:fldCharType="end"/>
        </w:r>
      </w:p>
    </w:sdtContent>
  </w:sdt>
  <w:p w:rsidR="00E329BE" w:rsidRDefault="00E329BE" w:rsidP="00835460">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AC7"/>
    <w:rsid w:val="00103CE3"/>
    <w:rsid w:val="001331A5"/>
    <w:rsid w:val="00156EFA"/>
    <w:rsid w:val="00162D84"/>
    <w:rsid w:val="0017651C"/>
    <w:rsid w:val="001D6C58"/>
    <w:rsid w:val="001E649D"/>
    <w:rsid w:val="001F01EB"/>
    <w:rsid w:val="001F7F46"/>
    <w:rsid w:val="00206503"/>
    <w:rsid w:val="00223A8D"/>
    <w:rsid w:val="00230A21"/>
    <w:rsid w:val="00235596"/>
    <w:rsid w:val="002904DE"/>
    <w:rsid w:val="002912B3"/>
    <w:rsid w:val="002A2A00"/>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541AB"/>
    <w:rsid w:val="003544BA"/>
    <w:rsid w:val="00392E5C"/>
    <w:rsid w:val="00396B17"/>
    <w:rsid w:val="003A3880"/>
    <w:rsid w:val="003A6E32"/>
    <w:rsid w:val="003B4F41"/>
    <w:rsid w:val="003C586A"/>
    <w:rsid w:val="003D1E6C"/>
    <w:rsid w:val="003E7DEF"/>
    <w:rsid w:val="004021D8"/>
    <w:rsid w:val="00424FC4"/>
    <w:rsid w:val="00437A80"/>
    <w:rsid w:val="00446726"/>
    <w:rsid w:val="00463DBF"/>
    <w:rsid w:val="00465BCB"/>
    <w:rsid w:val="0046690F"/>
    <w:rsid w:val="00475314"/>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B3CEE"/>
    <w:rsid w:val="005D2D1A"/>
    <w:rsid w:val="005D3777"/>
    <w:rsid w:val="005E00B9"/>
    <w:rsid w:val="005F37CB"/>
    <w:rsid w:val="0060282B"/>
    <w:rsid w:val="006A36EF"/>
    <w:rsid w:val="006B05F0"/>
    <w:rsid w:val="006C3637"/>
    <w:rsid w:val="006C3A7D"/>
    <w:rsid w:val="006C6BB6"/>
    <w:rsid w:val="006C6F2F"/>
    <w:rsid w:val="007028DA"/>
    <w:rsid w:val="00702EA2"/>
    <w:rsid w:val="00703FA0"/>
    <w:rsid w:val="007120EA"/>
    <w:rsid w:val="007227D2"/>
    <w:rsid w:val="00723026"/>
    <w:rsid w:val="00742866"/>
    <w:rsid w:val="007512DE"/>
    <w:rsid w:val="00756010"/>
    <w:rsid w:val="0076386B"/>
    <w:rsid w:val="00763CC7"/>
    <w:rsid w:val="00764FD9"/>
    <w:rsid w:val="0079159A"/>
    <w:rsid w:val="007A130E"/>
    <w:rsid w:val="007A3621"/>
    <w:rsid w:val="007A4DBC"/>
    <w:rsid w:val="007B09EB"/>
    <w:rsid w:val="007B5591"/>
    <w:rsid w:val="007C1D40"/>
    <w:rsid w:val="007C3CE2"/>
    <w:rsid w:val="007F1932"/>
    <w:rsid w:val="007F6378"/>
    <w:rsid w:val="007F7E26"/>
    <w:rsid w:val="008018FF"/>
    <w:rsid w:val="00801907"/>
    <w:rsid w:val="00820D77"/>
    <w:rsid w:val="0083246A"/>
    <w:rsid w:val="00835460"/>
    <w:rsid w:val="0084183F"/>
    <w:rsid w:val="0084266D"/>
    <w:rsid w:val="00844928"/>
    <w:rsid w:val="00857F19"/>
    <w:rsid w:val="00860E8C"/>
    <w:rsid w:val="00861943"/>
    <w:rsid w:val="00875D0C"/>
    <w:rsid w:val="00895FB6"/>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F04A8"/>
    <w:rsid w:val="00AF0FB3"/>
    <w:rsid w:val="00AF17B8"/>
    <w:rsid w:val="00B17021"/>
    <w:rsid w:val="00B462E1"/>
    <w:rsid w:val="00B50725"/>
    <w:rsid w:val="00B534BC"/>
    <w:rsid w:val="00B64569"/>
    <w:rsid w:val="00B934B6"/>
    <w:rsid w:val="00BA1E58"/>
    <w:rsid w:val="00BC2F89"/>
    <w:rsid w:val="00BD551E"/>
    <w:rsid w:val="00BE5880"/>
    <w:rsid w:val="00BF12EA"/>
    <w:rsid w:val="00C23EB2"/>
    <w:rsid w:val="00C44726"/>
    <w:rsid w:val="00C44FBC"/>
    <w:rsid w:val="00C555C4"/>
    <w:rsid w:val="00C55E55"/>
    <w:rsid w:val="00C70587"/>
    <w:rsid w:val="00C72A01"/>
    <w:rsid w:val="00C770F4"/>
    <w:rsid w:val="00C83B37"/>
    <w:rsid w:val="00C95CBB"/>
    <w:rsid w:val="00CA200D"/>
    <w:rsid w:val="00CB525A"/>
    <w:rsid w:val="00CC02A3"/>
    <w:rsid w:val="00CC556A"/>
    <w:rsid w:val="00CC7D45"/>
    <w:rsid w:val="00CD75A6"/>
    <w:rsid w:val="00CE4644"/>
    <w:rsid w:val="00D05F0D"/>
    <w:rsid w:val="00D2262F"/>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2CDC"/>
    <w:rsid w:val="00DF3FD5"/>
    <w:rsid w:val="00DF7579"/>
    <w:rsid w:val="00DF7B56"/>
    <w:rsid w:val="00E008CA"/>
    <w:rsid w:val="00E043F1"/>
    <w:rsid w:val="00E076A2"/>
    <w:rsid w:val="00E14BF5"/>
    <w:rsid w:val="00E30DB9"/>
    <w:rsid w:val="00E329BE"/>
    <w:rsid w:val="00E4540C"/>
    <w:rsid w:val="00E670E7"/>
    <w:rsid w:val="00E733E5"/>
    <w:rsid w:val="00E73543"/>
    <w:rsid w:val="00E74EB6"/>
    <w:rsid w:val="00E854FB"/>
    <w:rsid w:val="00ED3DE7"/>
    <w:rsid w:val="00ED603F"/>
    <w:rsid w:val="00F07D1E"/>
    <w:rsid w:val="00F212A4"/>
    <w:rsid w:val="00F40C55"/>
    <w:rsid w:val="00F53F9E"/>
    <w:rsid w:val="00F545CF"/>
    <w:rsid w:val="00F6612D"/>
    <w:rsid w:val="00F66205"/>
    <w:rsid w:val="00F7668A"/>
    <w:rsid w:val="00F82D51"/>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5C53A-6F67-4F07-84A2-FC6B6621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16</Pages>
  <Words>5857</Words>
  <Characters>33389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157</cp:revision>
  <cp:lastPrinted>2018-04-18T05:22:00Z</cp:lastPrinted>
  <dcterms:created xsi:type="dcterms:W3CDTF">2013-10-11T07:17:00Z</dcterms:created>
  <dcterms:modified xsi:type="dcterms:W3CDTF">2018-04-18T05:22:00Z</dcterms:modified>
</cp:coreProperties>
</file>